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91" w:rsidRDefault="008A1791" w:rsidP="003A0943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A1791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</w:p>
    <w:p w:rsidR="003A0943" w:rsidRPr="003A0943" w:rsidRDefault="003A0943" w:rsidP="003A0943">
      <w:pPr>
        <w:spacing w:before="20" w:after="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791">
        <w:rPr>
          <w:rFonts w:ascii="Times New Roman" w:eastAsia="Calibri" w:hAnsi="Times New Roman" w:cs="Times New Roman"/>
          <w:i/>
          <w:sz w:val="28"/>
          <w:szCs w:val="28"/>
        </w:rPr>
        <w:t>Как подготов</w:t>
      </w:r>
      <w:r>
        <w:rPr>
          <w:rFonts w:ascii="Times New Roman" w:eastAsia="Calibri" w:hAnsi="Times New Roman" w:cs="Times New Roman"/>
          <w:i/>
          <w:sz w:val="28"/>
          <w:szCs w:val="28"/>
        </w:rPr>
        <w:t>иться к выполнению всероссийских проверочных  работ</w:t>
      </w:r>
    </w:p>
    <w:p w:rsidR="008A1791" w:rsidRPr="008A1791" w:rsidRDefault="008A1791" w:rsidP="008A1791">
      <w:pPr>
        <w:spacing w:before="20" w:after="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1791" w:rsidRPr="008A1791" w:rsidRDefault="008A1791" w:rsidP="008A1791">
      <w:pPr>
        <w:spacing w:before="20" w:after="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1791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8A1791" w:rsidRPr="008A1791" w:rsidRDefault="008A1791" w:rsidP="008A1791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7606"/>
      </w:tblGrid>
      <w:tr w:rsidR="008A1791" w:rsidRPr="008A1791" w:rsidTr="008A1791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8A17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E8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Как подготов</w:t>
            </w:r>
            <w:r w:rsidR="00E862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иться к выполнению всероссийских проверочных  работ</w:t>
            </w:r>
          </w:p>
        </w:tc>
      </w:tr>
      <w:tr w:rsidR="008A1791" w:rsidRPr="008A1791" w:rsidTr="008A1791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8A17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8A17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Учителя начальных классов краевых государственных (муниципальных) образовательных организаций, реализующих образовательные программы начального общего образования</w:t>
            </w:r>
          </w:p>
        </w:tc>
      </w:tr>
      <w:tr w:rsidR="008A1791" w:rsidRPr="008A1791" w:rsidTr="008A1791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8A17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8A17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Обеспечение реализации федеральных государственных образовательных стандартов начального общего образования</w:t>
            </w:r>
          </w:p>
        </w:tc>
      </w:tr>
    </w:tbl>
    <w:p w:rsidR="008A1791" w:rsidRPr="008A1791" w:rsidRDefault="008A1791" w:rsidP="008A1791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791" w:rsidRPr="008A1791" w:rsidRDefault="008A1791" w:rsidP="008A1791">
      <w:pPr>
        <w:numPr>
          <w:ilvl w:val="0"/>
          <w:numId w:val="1"/>
        </w:numPr>
        <w:spacing w:before="20" w:after="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A1791">
        <w:rPr>
          <w:rFonts w:ascii="Times New Roman" w:eastAsia="Calibri" w:hAnsi="Times New Roman" w:cs="Times New Roman"/>
          <w:b/>
          <w:sz w:val="28"/>
          <w:szCs w:val="28"/>
        </w:rPr>
        <w:t>Основания для разработки</w:t>
      </w:r>
    </w:p>
    <w:p w:rsidR="008A1791" w:rsidRPr="008A1791" w:rsidRDefault="008A1791" w:rsidP="008A1791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620"/>
      </w:tblGrid>
      <w:tr w:rsidR="008A1791" w:rsidRPr="008A1791" w:rsidTr="008A17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8A17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91" w:rsidRPr="001225EB" w:rsidRDefault="001225EB" w:rsidP="00E862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Минобрнауки № 1381 от 26 ноября 2015 года об обязательном проведении мониторинга качества подготовки обучающихся 4 классов по учебным предметам «русский язык», «математика», «окружающий мир»  в форме ВПР</w:t>
            </w:r>
          </w:p>
        </w:tc>
      </w:tr>
    </w:tbl>
    <w:p w:rsidR="008A1791" w:rsidRPr="008A1791" w:rsidRDefault="008A1791" w:rsidP="008A1791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791" w:rsidRPr="008A1791" w:rsidRDefault="008A1791" w:rsidP="008A1791">
      <w:pPr>
        <w:numPr>
          <w:ilvl w:val="0"/>
          <w:numId w:val="1"/>
        </w:numPr>
        <w:spacing w:before="20" w:after="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A1791">
        <w:rPr>
          <w:rFonts w:ascii="Times New Roman" w:eastAsia="Calibri" w:hAnsi="Times New Roman" w:cs="Times New Roman"/>
          <w:b/>
          <w:sz w:val="28"/>
          <w:szCs w:val="28"/>
        </w:rPr>
        <w:t>Назначение разработки</w:t>
      </w:r>
    </w:p>
    <w:p w:rsidR="008A1791" w:rsidRPr="008A1791" w:rsidRDefault="008A1791" w:rsidP="008A1791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8A1791" w:rsidRPr="008A1791" w:rsidTr="008A17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8A1791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91" w:rsidRPr="008A1791" w:rsidRDefault="008A1791" w:rsidP="00E862E7">
            <w:pPr>
              <w:spacing w:before="20" w:after="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Оказание методической помощи учителям начальных классов в подготовке младших школьников к всероссийским проверочным работам </w:t>
            </w:r>
          </w:p>
        </w:tc>
      </w:tr>
    </w:tbl>
    <w:p w:rsidR="008A1791" w:rsidRPr="008A1791" w:rsidRDefault="008A1791" w:rsidP="008A1791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791" w:rsidRPr="008A1791" w:rsidRDefault="008A1791" w:rsidP="008A1791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A1791">
        <w:rPr>
          <w:rFonts w:ascii="Times New Roman" w:eastAsia="Calibri" w:hAnsi="Times New Roman" w:cs="Times New Roman"/>
          <w:b/>
          <w:sz w:val="28"/>
          <w:szCs w:val="28"/>
        </w:rPr>
        <w:t>Как подготов</w:t>
      </w:r>
      <w:r w:rsidR="00E862E7">
        <w:rPr>
          <w:rFonts w:ascii="Times New Roman" w:eastAsia="Calibri" w:hAnsi="Times New Roman" w:cs="Times New Roman"/>
          <w:b/>
          <w:sz w:val="28"/>
          <w:szCs w:val="28"/>
        </w:rPr>
        <w:t>иться к выполнению всероссийских проверочных работ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19"/>
        <w:gridCol w:w="402"/>
        <w:gridCol w:w="3673"/>
        <w:gridCol w:w="5087"/>
      </w:tblGrid>
      <w:tr w:rsidR="008A1791" w:rsidRPr="008A1791" w:rsidTr="008A1791">
        <w:trPr>
          <w:trHeight w:val="990"/>
        </w:trPr>
        <w:tc>
          <w:tcPr>
            <w:tcW w:w="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8A1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8A1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КОМПОНЕНТЫ КОНСУЛЬТИРОВАНИЯ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8A1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8A1791" w:rsidRPr="008A1791" w:rsidTr="008A1791">
        <w:trPr>
          <w:trHeight w:val="362"/>
        </w:trPr>
        <w:tc>
          <w:tcPr>
            <w:tcW w:w="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791" w:rsidRPr="008A1791" w:rsidRDefault="008A1791" w:rsidP="008A17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20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8A1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слова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E862E7" w:rsidP="008A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Внутренняя оценка, внешняя оценка, новая процедура оценки качества образования – Всероссийские проверочные работы (ВПР)</w:t>
            </w:r>
          </w:p>
        </w:tc>
      </w:tr>
      <w:tr w:rsidR="008A1791" w:rsidRPr="008A1791" w:rsidTr="008A1791">
        <w:trPr>
          <w:trHeight w:val="1127"/>
        </w:trPr>
        <w:tc>
          <w:tcPr>
            <w:tcW w:w="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791" w:rsidRPr="008A1791" w:rsidRDefault="008A1791" w:rsidP="008A17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20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8A1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Аннотация к содержанию консультации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4C07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консультации рассматриваются </w:t>
            </w:r>
            <w:r w:rsidR="004C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вопросы подготовки к проведению ВПР</w:t>
            </w:r>
          </w:p>
        </w:tc>
      </w:tr>
      <w:tr w:rsidR="008A1791" w:rsidRPr="008A1791" w:rsidTr="008A1791">
        <w:trPr>
          <w:trHeight w:val="3503"/>
        </w:trPr>
        <w:tc>
          <w:tcPr>
            <w:tcW w:w="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791" w:rsidRPr="008A1791" w:rsidRDefault="008A1791" w:rsidP="008A17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20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8A1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Запрос на консультирование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Default="004C07A8" w:rsidP="008A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Всероссийские проверочные работы?</w:t>
            </w:r>
          </w:p>
          <w:p w:rsidR="004C07A8" w:rsidRDefault="004C07A8" w:rsidP="004C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готовить младших школьников и их родителей к проведению ВПР?</w:t>
            </w:r>
          </w:p>
          <w:p w:rsidR="004C07A8" w:rsidRPr="008A1791" w:rsidRDefault="004C07A8" w:rsidP="004C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можно получить информацию</w:t>
            </w:r>
            <w:r w:rsidR="00B52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результатах предыдущих работ, демоверсии работ по предметам и др.?</w:t>
            </w:r>
          </w:p>
        </w:tc>
      </w:tr>
      <w:tr w:rsidR="008A1791" w:rsidRPr="008A1791" w:rsidTr="008A1791">
        <w:trPr>
          <w:trHeight w:val="5263"/>
        </w:trPr>
        <w:tc>
          <w:tcPr>
            <w:tcW w:w="9612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A1791" w:rsidRPr="008A1791" w:rsidRDefault="008A1791" w:rsidP="008A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791" w:rsidRPr="008A1791" w:rsidRDefault="008A1791" w:rsidP="008A179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7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Текст консультации</w:t>
            </w:r>
          </w:p>
          <w:p w:rsidR="002F59E3" w:rsidRDefault="00B52AB7" w:rsidP="00B52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нового образовательного стандарта</w:t>
            </w:r>
            <w:r w:rsidR="002F5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гарантирует достижение обучающимися планируемых результатов освоения основной образовательной программы начального общего образования, что составляет основу успешности дальнейшего обучения. Для реализации этого положения  ФГОС НОО в конце обучения в начальной школе  проводится итоговая оценка достижения планируемых предметных и метапредметных результатов.</w:t>
            </w:r>
          </w:p>
          <w:p w:rsidR="002F59E3" w:rsidRDefault="002F59E3" w:rsidP="00B52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оценка может проводиться в различной форме внешней и внутренней оценки, построенной на одной и той же содержательной критериальной основе.</w:t>
            </w:r>
          </w:p>
          <w:p w:rsidR="002F59E3" w:rsidRDefault="002F59E3" w:rsidP="00B52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9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Внутренняя оценка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 как правило,  организуется педагогами на основе общих требований к оценке  достижения планируемых результатов. Эти требования сформулированы в разделах «Выпускник научится» по каждому предмету в «Планируемых результатах начального общего образования».</w:t>
            </w:r>
          </w:p>
          <w:p w:rsidR="002F59E3" w:rsidRDefault="00F73C78" w:rsidP="00B52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Внешняя оценка</w:t>
            </w:r>
            <w:r w:rsidR="00C71CD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организуется на региональном и федеральном уровнях также в различных формах, одной из которых является написание выпускниками начальной школы всероссийских проверочных работ по русскому языку, математике, окружающему миру. Внешняя оценка дает общее понимание того,  что собственно нужно оценивать. В ходе итоговой оценки значительное внимание должно отводиться оценке способности школьников применять полученные знания при решении учебных и практических задач, оценке осознанности применения знаний и обоснования приведенного ответа или решения.</w:t>
            </w:r>
          </w:p>
          <w:p w:rsidR="00F73C78" w:rsidRDefault="00F73C78" w:rsidP="00B52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Приоритетной задачей государственной политики в области образования является обеспечение качества образования. В связи с этим, актуальной является задачапостроения сбалансированной системы процедур оценки качества общего образования, позволяющей обеспечить получение надежной информации о состоянии различных компонентов региональной и муниципальной систем образования, а также дающей возможность оценить состояние отдельных компонентов системы образования в Российской Федерации в целом.</w:t>
            </w:r>
          </w:p>
          <w:p w:rsidR="00F2312F" w:rsidRDefault="00F2312F" w:rsidP="00B52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Наиболее эффективно такая задача может быть решена путем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проведения регулярных оценочных процедур. В 2015-2016 учебном году Федеральная служба по надзору  в сфере образования и науки по поручению Министерства образования и науки РФ начала проведение новой процедуры оценки качества образования – </w:t>
            </w:r>
            <w:r w:rsidRPr="00F231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Всероссийские проверочные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ВПР), которые будут ежегодно проводиться в российских школах.</w:t>
            </w:r>
          </w:p>
          <w:p w:rsidR="00F2312F" w:rsidRPr="00F73C78" w:rsidRDefault="00EE75AF" w:rsidP="00B52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5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данного 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обеспечение  единства образовательного пространства РФ и поддержка введения ФГОС за счет предоставления образовательным организациям </w:t>
            </w:r>
            <w:r w:rsidRPr="00EE75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единых проверочных материалов и единых критериев оценивания учебных достижений 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A1791" w:rsidRDefault="007B6059" w:rsidP="007B6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Отличительной особенностью Всероссийских проверочных работ является единство подходов к составлению вариантов заданий, проведению самих работ и их оцениванию, а также использование современных технологий, позволяющих обеспечить практически одновременное выполнение контрольных работ школьниками всей страны.</w:t>
            </w:r>
            <w:r w:rsidR="00185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Тексты Всероссийских проверочных работ разработаны в соответствии с требованиями федерального государственного образовательного стандарта.</w:t>
            </w:r>
          </w:p>
          <w:p w:rsidR="007B6059" w:rsidRDefault="00383640" w:rsidP="007B6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Нужно помнить о том, что Всероссийские проверочные работы </w:t>
            </w:r>
            <w:r w:rsidRPr="003836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 являются итоговой аттестацией обучающихся начальной школы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 представляют собой аналог годовых контрольных работ, традиционно проводившихся  ранее в школах. Всероссийские проверочные работы лишь часть комплексной итоговой оценки выпускника начальной школы. Возможно</w:t>
            </w:r>
            <w:r w:rsidR="005D5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заменить итоговые комплексные контрольные работы по выбранному УМК Всероссийскими проверочными работами.</w:t>
            </w:r>
          </w:p>
          <w:p w:rsidR="00136515" w:rsidRDefault="00383640" w:rsidP="00136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С чего начать подготовку к ВПР? Прежде всего</w:t>
            </w:r>
            <w:r w:rsidR="00BB77D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B77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каждому учителю</w:t>
            </w:r>
            <w:r w:rsidR="00BB7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изучить все имеющиеся по данному вопросу материалы. Затем необходимо  в образовательном учреждении собраться методическим объединением учителей начальных классов. Внимательно проанализировать представленные результаты и НИКО (Национального исследования качества образования), и Материалы международных исследований </w:t>
            </w:r>
            <w:r w:rsidR="00BB77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TIMSS</w:t>
            </w:r>
            <w:r w:rsidR="00BB77DD" w:rsidRPr="00BB7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-2011 </w:t>
            </w:r>
            <w:r w:rsidR="00BB7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BB77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TIMSS</w:t>
            </w:r>
            <w:r w:rsidR="00BB77DD">
              <w:rPr>
                <w:rFonts w:ascii="Times New Roman" w:eastAsia="Calibri" w:hAnsi="Times New Roman" w:cs="Times New Roman"/>
                <w:sz w:val="28"/>
                <w:szCs w:val="28"/>
              </w:rPr>
              <w:t>-2015, и результаты уже проведенных проверочных работ.</w:t>
            </w:r>
            <w:r w:rsidR="007F3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Учителям, у которых дети показали высокие результаты, предоставить возможность поделиться положительным опытом. Тем коллегам, чьи обучающиеся показали низкий результат, дать возможность проанализировать работы ребят, выявить причины невыполнения тех или иных заданий</w:t>
            </w:r>
            <w:r w:rsidR="001365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Руководителям образовательных учреждений не следует предпринимать репрессивных мер в отношении этих педагогов. Важно выявить причины неуспеваемости и помочь исправить сложившуюся ситуацию. Возможно, в учреждении составить план работы с данными педагогами (посещение уроков, проведение бесед с родителями неуспевающих ребят, с детьми – решение демоверсий ВПР с последующей проверкой и анализом). </w:t>
            </w:r>
          </w:p>
          <w:p w:rsidR="00136515" w:rsidRPr="00136515" w:rsidRDefault="00136515" w:rsidP="00136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515">
              <w:rPr>
                <w:rFonts w:ascii="Times New Roman" w:hAnsi="Times New Roman" w:cs="Times New Roman"/>
                <w:sz w:val="28"/>
                <w:szCs w:val="28"/>
              </w:rPr>
              <w:t xml:space="preserve">Очень важно подключить к подготовке к всероссийским проверочным работам  и родителей обучающихся.  Большинство из них заинтересованы в результатах обучения своего ребенка.  Необходимо познакомить родителей с результатами    ВПР, рассказать им о причинах невыполнения тех или иных заданий.  Дать возможность родителям вместе с детьми прорешать те </w:t>
            </w:r>
            <w:r w:rsidRPr="00136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в которых были допущены ошибки, поработать с демоверсиями проверочных работ. При этом должна быть создана доброжелательная  атмосфера в общении между администрацией, педагогом, обучающимся и его родителями.</w:t>
            </w:r>
          </w:p>
          <w:p w:rsidR="004C1E22" w:rsidRDefault="004C1E22" w:rsidP="00185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Педагогам необходимо правильно и грамотно объяснять родителям</w:t>
            </w:r>
            <w:r w:rsidRPr="004C1E22">
              <w:rPr>
                <w:rFonts w:ascii="Times New Roman" w:hAnsi="Times New Roman" w:cs="Times New Roman"/>
                <w:sz w:val="28"/>
                <w:szCs w:val="28"/>
              </w:rPr>
              <w:t xml:space="preserve">, что такое Всероссийские проверочные работы, с какой целью они проводятся. А чтобы это сделать, необходимо самим обстоятельно изучить все материалы по ВПР. Доступ к этим материалам открыт.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Pr="004C1E22">
              <w:rPr>
                <w:rFonts w:ascii="Times New Roman" w:hAnsi="Times New Roman" w:cs="Times New Roman"/>
                <w:sz w:val="28"/>
                <w:szCs w:val="28"/>
              </w:rPr>
              <w:t xml:space="preserve">дать родителям  адреса, где в свободном доступе они могут самостоятельно ознакомиться со всеми материалами по подготовке к ВПР, с результатами НИКО (национального исследования качества образования),   с материалами международных исследований </w:t>
            </w:r>
            <w:r w:rsidRPr="004C1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</w:t>
            </w:r>
            <w:r w:rsidRPr="004C1E22">
              <w:rPr>
                <w:rFonts w:ascii="Times New Roman" w:hAnsi="Times New Roman" w:cs="Times New Roman"/>
                <w:sz w:val="28"/>
                <w:szCs w:val="28"/>
              </w:rPr>
              <w:t xml:space="preserve">-2011 и 2015 (сайт АКИПКРО,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портал</w:t>
            </w:r>
            <w:r w:rsidRPr="008A17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«Всероссийские проверочные работы» (</w:t>
            </w:r>
            <w:hyperlink r:id="rId5" w:history="1">
              <w:r w:rsidRPr="008A179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8A179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.vpr.statgrad.org</w:t>
              </w:r>
            </w:hyperlink>
            <w:r w:rsidRPr="008A179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C1E22">
              <w:rPr>
                <w:rFonts w:ascii="Times New Roman" w:hAnsi="Times New Roman" w:cs="Times New Roman"/>
                <w:sz w:val="28"/>
                <w:szCs w:val="28"/>
              </w:rPr>
              <w:t xml:space="preserve">демоверсии на сайте Минобрнауки РФ). </w:t>
            </w:r>
            <w:r w:rsidRPr="004C1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сайте АКИПКРО на методической странице отделения краевого учебно-методического объединения по начальному общему образованию есть вкладка «Готовимся к всероссийским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роверочным работам»</w:t>
            </w:r>
            <w:r w:rsidRPr="004C1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 расположены  различные материалы в помощь учителю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родителям</w:t>
            </w:r>
            <w:r w:rsidRPr="004C1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обучающимся, даны полезные ссылки.</w:t>
            </w:r>
          </w:p>
          <w:p w:rsidR="004C1E22" w:rsidRPr="004C1E22" w:rsidRDefault="004C1E22" w:rsidP="00185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Важно понимать, что подготовка к ВПР – это не «натаскивание»</w:t>
            </w:r>
            <w:r w:rsidR="00185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к выполнению тех или иных заданий, а целенаправленный труд педагога  и родителей по освоению обучающимися предметных и метапредметных  результатов образования в период всего обучения в начальной школе. </w:t>
            </w:r>
          </w:p>
          <w:p w:rsidR="00383640" w:rsidRPr="00BB77DD" w:rsidRDefault="00383640" w:rsidP="007B6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791" w:rsidRPr="008A1791" w:rsidTr="008A1791">
        <w:trPr>
          <w:trHeight w:val="148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791" w:rsidRPr="008A1791" w:rsidRDefault="008A1791" w:rsidP="008A1791">
            <w:pPr>
              <w:numPr>
                <w:ilvl w:val="0"/>
                <w:numId w:val="3"/>
              </w:numPr>
              <w:spacing w:after="0" w:line="240" w:lineRule="auto"/>
              <w:ind w:left="900" w:right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8A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литературы и других источников по теме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1859A6" w:rsidP="008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проверочные работы. Рекомендации по подготовке и организации. Методическое пособие</w:t>
            </w:r>
            <w:r w:rsidR="00122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Авт.-сост. С.П.Казачкова. – М.: Планета, 2016.</w:t>
            </w:r>
          </w:p>
        </w:tc>
      </w:tr>
      <w:tr w:rsidR="008A1791" w:rsidRPr="008A1791" w:rsidTr="008A1791">
        <w:trPr>
          <w:trHeight w:val="148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791" w:rsidRPr="008A1791" w:rsidRDefault="008A1791" w:rsidP="008A1791">
            <w:pPr>
              <w:numPr>
                <w:ilvl w:val="0"/>
                <w:numId w:val="3"/>
              </w:numPr>
              <w:spacing w:after="0" w:line="240" w:lineRule="auto"/>
              <w:ind w:left="900" w:right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8A1791" w:rsidP="008A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91" w:rsidRPr="008A1791" w:rsidRDefault="001225EB" w:rsidP="008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Поворознюк Лилия Владимировна, учитель начальных классов МБОУ «СОШ № 55» г.Барнаула, руководитель отделения краевого учебно-методического объединения по начальному общему образованию</w:t>
            </w:r>
          </w:p>
        </w:tc>
      </w:tr>
    </w:tbl>
    <w:p w:rsidR="008A1791" w:rsidRPr="008A1791" w:rsidRDefault="008A1791" w:rsidP="008A179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25E9E" w:rsidRDefault="00325E9E"/>
    <w:sectPr w:rsidR="00325E9E" w:rsidSect="0039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7856"/>
    <w:multiLevelType w:val="multilevel"/>
    <w:tmpl w:val="AF48E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9B5E04"/>
    <w:multiLevelType w:val="hybridMultilevel"/>
    <w:tmpl w:val="249268A8"/>
    <w:lvl w:ilvl="0" w:tplc="3E4C7A44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7F0DE3"/>
    <w:multiLevelType w:val="hybridMultilevel"/>
    <w:tmpl w:val="3F0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CC0FCC"/>
    <w:multiLevelType w:val="hybridMultilevel"/>
    <w:tmpl w:val="3F0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formsDesign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91"/>
    <w:rsid w:val="001225EB"/>
    <w:rsid w:val="00136515"/>
    <w:rsid w:val="001859A6"/>
    <w:rsid w:val="00297FF3"/>
    <w:rsid w:val="002F59E3"/>
    <w:rsid w:val="00325E9E"/>
    <w:rsid w:val="00383640"/>
    <w:rsid w:val="00392E3A"/>
    <w:rsid w:val="003A0943"/>
    <w:rsid w:val="004C07A8"/>
    <w:rsid w:val="004C1E22"/>
    <w:rsid w:val="005D5687"/>
    <w:rsid w:val="007B6059"/>
    <w:rsid w:val="007F3E8E"/>
    <w:rsid w:val="008A1791"/>
    <w:rsid w:val="00B52AB7"/>
    <w:rsid w:val="00BA609A"/>
    <w:rsid w:val="00BB77DD"/>
    <w:rsid w:val="00C71CDE"/>
    <w:rsid w:val="00E261C5"/>
    <w:rsid w:val="00E862E7"/>
    <w:rsid w:val="00EE75AF"/>
    <w:rsid w:val="00F2312F"/>
    <w:rsid w:val="00F7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51898-8638-4E7F-A73A-7421258B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1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pr.statgr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7106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Баранова Ю.О.</cp:lastModifiedBy>
  <cp:revision>2</cp:revision>
  <dcterms:created xsi:type="dcterms:W3CDTF">2023-12-08T06:51:00Z</dcterms:created>
  <dcterms:modified xsi:type="dcterms:W3CDTF">2023-12-08T06:51:00Z</dcterms:modified>
</cp:coreProperties>
</file>